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F8" w:rsidRPr="00266A35" w:rsidRDefault="00DB1FF8" w:rsidP="00266A35">
      <w:pPr>
        <w:pStyle w:val="tb-na16"/>
        <w:spacing w:before="0" w:beforeAutospacing="0" w:after="0" w:afterAutospacing="0"/>
        <w:rPr>
          <w:rFonts w:asciiTheme="minorHAnsi" w:hAnsiTheme="minorHAnsi" w:cstheme="minorHAnsi"/>
          <w:color w:val="000000"/>
          <w:sz w:val="44"/>
          <w:szCs w:val="44"/>
        </w:rPr>
      </w:pPr>
      <w:r w:rsidRPr="00266A35">
        <w:rPr>
          <w:rFonts w:asciiTheme="minorHAnsi" w:hAnsiTheme="minorHAnsi" w:cstheme="minorHAnsi"/>
          <w:color w:val="000000"/>
          <w:sz w:val="44"/>
          <w:szCs w:val="44"/>
        </w:rPr>
        <w:t>ZAKON</w:t>
      </w:r>
    </w:p>
    <w:p w:rsidR="00DB1FF8" w:rsidRDefault="00DB1FF8" w:rsidP="00266A35">
      <w:pPr>
        <w:pStyle w:val="t-12-9-fett-s"/>
        <w:spacing w:before="0" w:beforeAutospacing="0" w:after="0" w:afterAutospacing="0"/>
        <w:rPr>
          <w:rFonts w:asciiTheme="minorHAnsi" w:hAnsiTheme="minorHAnsi" w:cstheme="minorHAnsi"/>
          <w:color w:val="000000"/>
          <w:sz w:val="44"/>
          <w:szCs w:val="44"/>
        </w:rPr>
      </w:pPr>
      <w:r w:rsidRPr="00266A35">
        <w:rPr>
          <w:rFonts w:asciiTheme="minorHAnsi" w:hAnsiTheme="minorHAnsi" w:cstheme="minorHAnsi"/>
          <w:color w:val="000000"/>
          <w:sz w:val="44"/>
          <w:szCs w:val="44"/>
        </w:rPr>
        <w:t>O UMJETNIČKOM OBRAZOVANJU</w:t>
      </w:r>
    </w:p>
    <w:p w:rsidR="00266A35" w:rsidRPr="00266A35" w:rsidRDefault="00266A35" w:rsidP="00266A35">
      <w:pPr>
        <w:pStyle w:val="t-12-9-fett-s"/>
        <w:spacing w:before="0" w:beforeAutospacing="0" w:after="0" w:afterAutospacing="0"/>
        <w:rPr>
          <w:rFonts w:asciiTheme="minorHAnsi" w:hAnsiTheme="minorHAnsi" w:cstheme="minorHAnsi"/>
          <w:color w:val="000000"/>
          <w:sz w:val="44"/>
          <w:szCs w:val="44"/>
        </w:rPr>
      </w:pPr>
    </w:p>
    <w:p w:rsidR="00266A35" w:rsidRPr="00266A35" w:rsidRDefault="00266A35" w:rsidP="00266A35">
      <w:pPr>
        <w:pStyle w:val="t-12-9-fett-s"/>
        <w:spacing w:before="0" w:beforeAutospacing="0" w:after="0" w:afterAutospacing="0"/>
        <w:rPr>
          <w:rFonts w:asciiTheme="minorHAnsi" w:hAnsiTheme="minorHAnsi" w:cstheme="minorHAnsi"/>
          <w:color w:val="000000"/>
        </w:rPr>
      </w:pPr>
    </w:p>
    <w:p w:rsidR="00DB1FF8" w:rsidRPr="00266A35" w:rsidRDefault="00DB1FF8" w:rsidP="00266A35">
      <w:pPr>
        <w:pStyle w:val="t-10-9-fett"/>
        <w:spacing w:before="0" w:beforeAutospacing="0" w:after="0" w:afterAutospacing="0"/>
        <w:jc w:val="center"/>
        <w:rPr>
          <w:rFonts w:asciiTheme="minorHAnsi" w:hAnsiTheme="minorHAnsi" w:cstheme="minorHAnsi"/>
          <w:color w:val="000000"/>
        </w:rPr>
      </w:pPr>
      <w:r w:rsidRPr="00266A35">
        <w:rPr>
          <w:rFonts w:asciiTheme="minorHAnsi" w:hAnsiTheme="minorHAnsi" w:cstheme="minorHAnsi"/>
          <w:color w:val="000000"/>
        </w:rPr>
        <w:t>I. OPĆE ODREDBE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Ovim se Zakonom uređuje djelatnost umjetničkog obrazovanja u javnim ustanovama.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Javne ustanove koje obavljaju djelatnost umjetničkog obrazovanja su umjetničke škole i druge javne ustanove.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Djelatnost umjetničkog obrazovanja ostvaruje se u skladu s odredbama ovoga Zakona i zakona kojim se uređuje djelatnost osnovnog i srednjeg odgoja i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Dio djelatnosti umjetničkog obrazovanja vezan za kurikulume u primijenjenom strukovnom umjetničkom obrazovanju ostvaruje se po zakonu kojim se uređuje djelatnost strukovnog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Odredbe Zakona o ustanovama i drugih propisa primjenjuju se na djelatnost umjetničkog obrazovanja ako ovim Zakonom nije drukčije određeno.</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(6) Izrazi koji se koriste u ovome Zakonu i propisi koji se donose na temelju ovoga Zakona, a koji imaju rodno značenje, bez obzira jesu li korišteni u muškom ili ženskom rodu, obuhvaćaju na jednak način i muški i ženski rod.</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Umjetničke škole u smislu ovoga Zakona su glazbene, plesne, likovne i druge škole koje izvode umjetničke programe u skladu s ovim Zakonom.</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3.</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Umjetničko obrazovanje dostupno je svakome pod jednakim uvjetima bez obzira na rasu, boju kože, spol, jezik, vjeru, političko ili drugo uvjerenje, nacionalno ili socijalno podrijetlo, imovinu, rođenje, društveni položaj, invalidnost, seksualnu orijentaciju i dob, prema njegovim sposobnostima, a u skladu s ovim Zakonom.</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Djeca državljana država članica Europske unije imaju pravo na pristup umjetničkom obrazovanju pod istim uvjetima kao i hrvatski državljani, te se upisuju u ustanove za umjetničko obrazovanje u Republici Hrvatskoj pod istim uvjetima kao i hrvatski državljani.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Djeca državljana Republike Hrvatske koja su se obrazovala u nekoj državi članici Europske unije, a nastavljaju obrazovanje u Republici Hrvatskoj, imaju pravo na pristup umjetničkom obrazovanju pod istim uvjetima kao i hrvatski državljani koji se obrazuju u ustanovama za umjetničko obrazovanje u Republici Hrvatskoj.</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lastRenderedPageBreak/>
        <w:t>Članak 4.</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Ciljevi umjetničkog obrazovanja su: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učenicima s izraženim sklonostima i sposobnostima, talentiranima i darovitima omogućiti stjecanje znanja, razvoj vještina i sposobnosti u različitim umjetničkim područjima, omogućiti razvoj njihovog kreativnog potencijala,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osigurati sustavan način poučavanja učenika umjetničkim znanjima i vještinama, te razvoj njihovih sposobnosti i stavova prema razvojnim ciklusima učenika i odgojno-obrazovnim razinama, te zahtjevima i razinama složenosti kvalifikacije u umjetničkim područjima,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omogućiti razvoj kulturnog izražaja s obzirom na tradiciju i kulturnu autohtonost, nacionalno i civilizacijsko kulturno i umjetničko okruženje,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osigurati sustavan način poučavanja učenika umjetničkim znanjima i vještinama, poticati i unapređivati njihov intelektualni, stvaralački, estetski i socijalni razvoj u skladu s njihovim sposobnostima i sklonostima,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razvijati sposobnost doživljavanja i razumijevanja likovnih, glazbenih, dramskih i drugih djela nacionalne, europske i svjetske kulture,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razvijati sposobnost povezivanja umjetničkih djela s društvenom sredinom i povijesnim okolnostima.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Načela umjetničkog obrazovanja su: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učenikova sklonost, talentiranost i darovitost,</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dostupnost svakome pod jednakim uvjetima prema njegovim sposobnostima,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 programski, odnosno </w:t>
      </w:r>
      <w:proofErr w:type="spellStart"/>
      <w:r w:rsidRPr="00266A35">
        <w:rPr>
          <w:rFonts w:asciiTheme="minorHAnsi" w:hAnsiTheme="minorHAnsi" w:cstheme="minorHAnsi"/>
          <w:color w:val="000000"/>
        </w:rPr>
        <w:t>kurikulumski</w:t>
      </w:r>
      <w:proofErr w:type="spellEnd"/>
      <w:r w:rsidRPr="00266A35">
        <w:rPr>
          <w:rFonts w:asciiTheme="minorHAnsi" w:hAnsiTheme="minorHAnsi" w:cstheme="minorHAnsi"/>
          <w:color w:val="000000"/>
        </w:rPr>
        <w:t xml:space="preserve"> kontinuitet s obzirom na ishode učenja i darovitost učenika,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vertikalna i horizontalna prohodnost od rane pripremne razine do srednjoškolskog odnosno visokoškolskog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usklađivanje s potrebama nacionalnog i civilizacijskog kulturnog i umjetničkog okruženja tradicije i autohtonosti, osobnim potrebama i sklonostima te potrebama kulturnih politika i tržišta rada.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Svrha ovoga Zakona je propisati posebnosti umjetničkog obrazovanja kao dijela jedinstvenog sustava obrazovanja.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5.</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(1) Za umjetničko obrazovanje osniva se sektorsko vijeće za umjetnost, a sektorsko vijeće može se sastojati od </w:t>
      </w:r>
      <w:proofErr w:type="spellStart"/>
      <w:r w:rsidRPr="00266A35">
        <w:rPr>
          <w:rFonts w:asciiTheme="minorHAnsi" w:hAnsiTheme="minorHAnsi" w:cstheme="minorHAnsi"/>
          <w:color w:val="000000"/>
        </w:rPr>
        <w:t>podsektorskih</w:t>
      </w:r>
      <w:proofErr w:type="spellEnd"/>
      <w:r w:rsidRPr="00266A35">
        <w:rPr>
          <w:rFonts w:asciiTheme="minorHAnsi" w:hAnsiTheme="minorHAnsi" w:cstheme="minorHAnsi"/>
          <w:color w:val="000000"/>
        </w:rPr>
        <w:t xml:space="preserve"> vijeća.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lastRenderedPageBreak/>
        <w:t>(2) Sektorsko vijeće osniva ministar nadležan za obrazovanje (u daljnjem tekstu: ministar) koji imenuje i razrješava njegove članove.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Sektorsko vijeće sastoji se najviše od 20 članova koji se imenuju na rok od pet godina i mogu biti ponovo imenovani.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Za članove se imenuju stručnjaci na prijedlog ministarstva nadležnog za kulturu, poslodavaca, komora, sindikata, strukovnih udruga, nacionalnih saveza osoba s invaliditetom, visokih učilišta, ustanova za umjetničko obrazovanje i drugih dionika.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U sektorsko vijeće ministar izravno imenuje predstavnika Agencije za odgoj i obrazovanje (u daljnjem tekstu: Agencija) i predstavnike odgovarajućih ustanova za umjetničko obrazovanje.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(6) Sektorsko vijeće je partnerski sastavljeno, savjetodavno i stručno tijelo koje istražuje te iskazuje potrebe tržišta rada, visokog obrazovanja i svih drugih sastavnica hrvatskog društva, a kroz:</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definiranje potrebnih umjetničkih kvalifikacija,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 analiziranje postojećih i potrebnih kompetencija unutar sektora te u </w:t>
      </w:r>
      <w:proofErr w:type="spellStart"/>
      <w:r w:rsidRPr="00266A35">
        <w:rPr>
          <w:rFonts w:asciiTheme="minorHAnsi" w:hAnsiTheme="minorHAnsi" w:cstheme="minorHAnsi"/>
          <w:color w:val="000000"/>
        </w:rPr>
        <w:t>podsektorima</w:t>
      </w:r>
      <w:proofErr w:type="spellEnd"/>
      <w:r w:rsidRPr="00266A35">
        <w:rPr>
          <w:rFonts w:asciiTheme="minorHAnsi" w:hAnsiTheme="minorHAnsi" w:cstheme="minorHAnsi"/>
          <w:color w:val="000000"/>
        </w:rPr>
        <w:t>,</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davanje podloga za izradu standarda zanimanja,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davanje mišljenja Agenciji o potrebnom sadržaju umjetničkih kvalifikacija,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promicanje sektora te mogućnosti zapošljavanja unutar sektora,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davanje prijedloga mreže umjetničkih kurikuluma i ustanova za umjetničko obrazovanje osnivačima ustanova za umjetničko obrazovanje,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utvrđivanje profila unutar obrazovnog sektora.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(7) Sredstva za rad sektorskog vijeća, naknade članovima sektorskog vijeća te sredstva za sve druge troškove vezane uz rad sektorskog vijeća osiguravaju se iz proračuna Agencije.</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II. TRAJANJE OBRAZOVANJA, UMJETNIČKI KURIKULUM</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6.</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Umjetničko obrazovanje na svim razinama umjetničkog obrazovanja ostvaruje se na temelju Nacionalnog kurikuluma za predškolski odgoj, opće obvezno i srednjoškolsko obrazovanje i posebnih kurikuluma umjetničkog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Osnovno glazbeno obrazovanje izvodi se prema osnovnoškolskom umjetničkom kurikulumu u šestogodišnjem trajanju.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Osnovno plesno obrazovanje izvodi se prema osnovnoškolskom umjetničkom kurikulumu u četverogodišnjem trajanju.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lastRenderedPageBreak/>
        <w:t>(4) Osnovnim umjetničkim obrazovanjem učenik stječe znanja i sposobnosti za nastavak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Pripremno glazbeno obrazovanje za srednje obrazovanje izvode škole prema umjetničkom kurikulumu u dvogodišnjem trajanju.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(6) Pripremno plesno obrazovanje za srednje obrazovanje izvode škole prema umjetničkom kurikulumu u jednogodišnjem trajanju.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(7) Pripremnim glazbenim, odnosno plesnim obrazovanjem učenik stječe znanja i sposobnosti za nastavak glazbenog, odnosno plesnog obrazovanja bez prethodno završenog osnovnog glazbenog, odnosno plesnog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(8) Srednje umjetničko obrazovanje izvodi se prema umjetničkom kurikulumu u četverogodišnjem trajanju.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(9) Srednjim umjetničkim obrazovanjem učenik stječe znanja i sposobnosti za rad i nastavak obrazovanja.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7.</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(1) Obrazovni standard određene razine umjetničkog obrazovanja, odnosno stupanj složenosti kvalifikacije u području umjetničkog obrazovanja (kurikulum određenog područja umjetničkog obrazovanja) sadrži </w:t>
      </w:r>
      <w:proofErr w:type="spellStart"/>
      <w:r w:rsidRPr="00266A35">
        <w:rPr>
          <w:rFonts w:asciiTheme="minorHAnsi" w:hAnsiTheme="minorHAnsi" w:cstheme="minorHAnsi"/>
          <w:color w:val="000000"/>
        </w:rPr>
        <w:t>jezgrovni</w:t>
      </w:r>
      <w:proofErr w:type="spellEnd"/>
      <w:r w:rsidRPr="00266A35">
        <w:rPr>
          <w:rFonts w:asciiTheme="minorHAnsi" w:hAnsiTheme="minorHAnsi" w:cstheme="minorHAnsi"/>
          <w:color w:val="000000"/>
        </w:rPr>
        <w:t xml:space="preserve"> i diferencirani dio te školski kurikulum, načine, metode i oblike rada u umjetničkom obrazovanju, kriterije za upis učenika u programe umjetničkog obrazovanja te način praćenja, vrednovanja i ocjenjivanja učenika.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(2) </w:t>
      </w:r>
      <w:proofErr w:type="spellStart"/>
      <w:r w:rsidRPr="00266A35">
        <w:rPr>
          <w:rFonts w:asciiTheme="minorHAnsi" w:hAnsiTheme="minorHAnsi" w:cstheme="minorHAnsi"/>
          <w:color w:val="000000"/>
        </w:rPr>
        <w:t>Jezgrovni</w:t>
      </w:r>
      <w:proofErr w:type="spellEnd"/>
      <w:r w:rsidRPr="00266A35">
        <w:rPr>
          <w:rFonts w:asciiTheme="minorHAnsi" w:hAnsiTheme="minorHAnsi" w:cstheme="minorHAnsi"/>
          <w:color w:val="000000"/>
        </w:rPr>
        <w:t xml:space="preserve"> dio kurikuluma odnosi se na sve učenike i obvezan je za sve učenike.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Diferencirani dio kurikuluma umjetničkog obrazovanja u osnovnoj, odnosno srednjoj školi obuhvaća nastavne predmete i/ili module kojima se zadovoljavaju interesi učenika u skladu s mogućnostima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Kurikulum iz stavka 1. ovoga članka donosi ministar.</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8.</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Pravo upisa u prvi razred osnovnoga glazbenog obrazovanja imaju djeca koja su u pravilu navršila sedam godina života i zadovoljila kriterije propisane kurikulumom umjetničkog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Pravo upisa u prvi razred osnovnog plesnog obrazovanja imaju djeca koja su u pravilu navršila devet godina života i zadovoljila kriterije propisane kurikulumom umjetničkog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U prvi pripremni razred srednje glazbene škole upisuju se učenici do navršenih 15 godina života, a u skladu s kriterijima propisanima kurikulumom umjetničkog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U prvi pripremni razred srednje plesne škole upisuju se učenici do navršenih 17 godina života, a u skladu s kriterijima propisanima kurikulumom umjetničkog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lastRenderedPageBreak/>
        <w:t xml:space="preserve">(5) Iznimno od stavka 3. ovoga članka, u prvi pripremni razred srednje glazbene škole za zanimanja glazbenik fagotist, glazbenik </w:t>
      </w:r>
      <w:proofErr w:type="spellStart"/>
      <w:r w:rsidRPr="00266A35">
        <w:rPr>
          <w:rFonts w:asciiTheme="minorHAnsi" w:hAnsiTheme="minorHAnsi" w:cstheme="minorHAnsi"/>
          <w:color w:val="000000"/>
        </w:rPr>
        <w:t>tubist</w:t>
      </w:r>
      <w:proofErr w:type="spellEnd"/>
      <w:r w:rsidRPr="00266A35">
        <w:rPr>
          <w:rFonts w:asciiTheme="minorHAnsi" w:hAnsiTheme="minorHAnsi" w:cstheme="minorHAnsi"/>
          <w:color w:val="000000"/>
        </w:rPr>
        <w:t xml:space="preserve"> i glazbenik </w:t>
      </w:r>
      <w:proofErr w:type="spellStart"/>
      <w:r w:rsidRPr="00266A35">
        <w:rPr>
          <w:rFonts w:asciiTheme="minorHAnsi" w:hAnsiTheme="minorHAnsi" w:cstheme="minorHAnsi"/>
          <w:color w:val="000000"/>
        </w:rPr>
        <w:t>kontrabasist</w:t>
      </w:r>
      <w:proofErr w:type="spellEnd"/>
      <w:r w:rsidRPr="00266A35">
        <w:rPr>
          <w:rFonts w:asciiTheme="minorHAnsi" w:hAnsiTheme="minorHAnsi" w:cstheme="minorHAnsi"/>
          <w:color w:val="000000"/>
        </w:rPr>
        <w:t xml:space="preserve"> mogu se upisati učenici do navršenih 18 godina života, a za zanimanje glazbenica pjevačica učenice do navršenih 20 godina života i glazbenik pjevač do navršene 22 godine života.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(6) Pravo upisa u prvi razred srednje umjetničke škole imaju učenici nakon završenog osnovnog glazbenog ili plesnog obrazovanja ili pripremnog glazbenog ili plesnog obrazovanja za srednju školu te koji su zadovoljili kriterije propisane kurikulumom umjetničkog obrazovanja i položili prijamni ispit.</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(7) Učenici upisuju prvi razred srednje umjetničke škole do navršenih 17 godina života, a najkasnije do navršenih 18 godina života.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(8) Iznimno od stavka 7. ovoga članka, u prvi razred srednje glazbene škole za zanimanja glazbenik fagotist, glazbenik </w:t>
      </w:r>
      <w:proofErr w:type="spellStart"/>
      <w:r w:rsidRPr="00266A35">
        <w:rPr>
          <w:rFonts w:asciiTheme="minorHAnsi" w:hAnsiTheme="minorHAnsi" w:cstheme="minorHAnsi"/>
          <w:color w:val="000000"/>
        </w:rPr>
        <w:t>tubist</w:t>
      </w:r>
      <w:proofErr w:type="spellEnd"/>
      <w:r w:rsidRPr="00266A35">
        <w:rPr>
          <w:rFonts w:asciiTheme="minorHAnsi" w:hAnsiTheme="minorHAnsi" w:cstheme="minorHAnsi"/>
          <w:color w:val="000000"/>
        </w:rPr>
        <w:t xml:space="preserve"> i glazbenik </w:t>
      </w:r>
      <w:proofErr w:type="spellStart"/>
      <w:r w:rsidRPr="00266A35">
        <w:rPr>
          <w:rFonts w:asciiTheme="minorHAnsi" w:hAnsiTheme="minorHAnsi" w:cstheme="minorHAnsi"/>
          <w:color w:val="000000"/>
        </w:rPr>
        <w:t>kontrabasist</w:t>
      </w:r>
      <w:proofErr w:type="spellEnd"/>
      <w:r w:rsidRPr="00266A35">
        <w:rPr>
          <w:rFonts w:asciiTheme="minorHAnsi" w:hAnsiTheme="minorHAnsi" w:cstheme="minorHAnsi"/>
          <w:color w:val="000000"/>
        </w:rPr>
        <w:t xml:space="preserve"> mogu se upisati učenici do navršenih 20 godina života, a za zanimanje glazbenica pjevačica učenice do navršenih 22 godina života i glazbenik pjevač do navršene 24 godine života.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(9) Iznimno, na temelju pokazane iznimne darovitosti, uz suglasnost učiteljskog/ nastavničkog vijeća, može se dopustiti upis u pripremni program srednje škole, odnosno prvi razred srednje glazbene ili plesne škole i učenicima koji ne ispunjavaju uvjete iz stavka 1. do 8. ovoga članka.</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III. UČENICI</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9.</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Status učenika srednje umjetničke škole stječe učenik koji uz posebni stručni dio programa umjetničke škole pohađa i općeobrazovni program u umjetničkoj školi, kao i učenik koji uz posebni stručni dio programa umjetničke škole pohađa i drugu srednju školu.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Učenik može upisati samo jedan program u umjetničkoj školi na osnovnoškolskoj i srednjoškolskoj razini.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Iznimno, daroviti učenici mogu pohađati i više od jednog temeljnog predmeta na osnovnoškolskoj razini ili više od jednog programa na srednjoškolskoj razini, ako sami snose troškove toga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O upisu iz stavka 3. ovoga članka odlučuje ravnatelj škole na prijedlog učiteljskog/nastavničkog vijeća škole.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10.</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Učenici srednjih umjetničkih škola završavaju srednje obrazovanje u skladu sa zakonom kojim se uređuje djelatnost osnovnog i srednjeg odgoja i obrazovanja.</w:t>
      </w:r>
    </w:p>
    <w:p w:rsidR="00DB1FF8"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Učenici koji završavaju kurikulum umjetničkog obrazovanja na razini srednje škole u najmanje četverogodišnjem trajanju mogu polagati i ispite državne mature pod uvjetima propisanim zakonom kojim se uređuje djelatnost osnovnog i srednjeg odgoja i obrazovanja.</w:t>
      </w:r>
    </w:p>
    <w:p w:rsidR="005B7B79" w:rsidRPr="00266A35" w:rsidRDefault="005B7B79" w:rsidP="00DB1FF8">
      <w:pPr>
        <w:pStyle w:val="t-9-8"/>
        <w:jc w:val="both"/>
        <w:rPr>
          <w:rFonts w:asciiTheme="minorHAnsi" w:hAnsiTheme="minorHAnsi" w:cstheme="minorHAnsi"/>
          <w:color w:val="000000"/>
        </w:rPr>
      </w:pP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lastRenderedPageBreak/>
        <w:t>Članak 11.</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Učenik je dužan sudjelovati u javnim aktivnostima u organizaciji škole u skladu s školskim kurikulumom.</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12.</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Učenici mogu završiti umjetničko obrazovanje i u kraćem vremenskom trajanju od propisanog ovisno o razini napredovanja u stjecanju znanja, razvoju vještina, sposobnosti i stavova na način propisan kurikulumom umjetničkog obrazovanja.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U tijeku jedne školske godine učenik može završiti dva razreda.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13.</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Posebno daroviti učenici u umjetničkom području i učenici koji se pripremaju za međunarodna natjecanja mogu završiti obrazovanje pohađanjem nastave ili polaganjem ispita u vremenu za polovinu duljem od propisanoga trajanja upisanoga programa.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O produženju obrazovanja iz stavka 1. ovoga članka odlučuje učiteljsko, odnosno nastavničko vijeće škole koju učenik pohađa.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Načini pohađanja nastave i polaganja ispita učenika iz stavka 1. ovoga članka uređuju se statutom umjetničke škole.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14.</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 slučaju prekida školovanja učenik može nastaviti započeto obrazovanje u istom razredu najkasnije u sljedećoj školskoj godini.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O nastavku obrazovanja iz stavka 1. ovoga članka odlučuje učiteljsko/nastavničko vijeće škole u kojoj učenik želi nastaviti obrazovanje.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15.</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Obrazovanje učenika s teškoćama u razvoju organizira se u školi prema kurikulumu umjetničkog obrazovanja i posebnome kurikulumu prilagođenome učeniku s teškoćama.</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IV. POSTUPCI I ELEMENTI VREDNOVANJA UČENIKA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16.</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Učitelji/nastavnici su dužni pratiti, vrednovati i ocjenjivati rad učenika u skladu s umjetničkim kurikulumom.</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Ako zbog duže opravdane odsutnosti, bolesti, preseljenja ili iz drugih opravdanih razloga propisanih statutom škole, na kraju školske godine nije moguće ocijeniti znanje učenika ili ako njegovo znanje ne udovoljava razini očekivanih postignuća definiranih kurikulumom umjetničkog obrazovanja, učenikovo obrazovanje može se produžiti za jednu školsku godinu.</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lastRenderedPageBreak/>
        <w:t>(3) Postupak iz stavka 2. ovoga članka uređuje se statutom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Odluku o produženju obrazovanja iz stavka 2. ovoga članka donosi ravnatelj škole, na prijedlog učiteljskog/nastavničkog vijeća škole.</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V. UČITELJI, NASTAVNICI I STRUČNI SURADNICI</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17.</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Poslove učitelja/nastavnika u umjetničkoj školi može obavljati osoba koja je završila diplomski sveučilišni studij odgovarajuće vrste ili diplomski specijalistički stručni studij odgovarajuće vrste i ima potrebno pedagoško-psihološko-didaktičko-metodičko obrazovanje (u daljnjem tekstu: pedagoške kompetencije).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Poslove učitelja/nastavnika stručnih predmeta u umjetničkom obrazovanju, može obavljati i osoba koja ima nižu razinu obrazovanja od razine propisane stavkom 1. ovoga članka ako ima najvišu razinu obrazovanja odgovarajuće vrste koja se može steći u tom području i ima pedagoške kompetencije.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Odgovarajuću vrstu obrazovanja učitelja i nastavnika, kao i okvirni program pedagoških kompetencija propisuje ministar.</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18.</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Ukupne tjedne obveze odgojno-obrazovnog rada u umjetničkoj školi i ostale poslove koji proizlaze iz odgojno-obrazovnog rada propisuje ministar.</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19.</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Stručna tijela škole su razredno i učiteljsko, odnosno nastavničko vijeće, a po potrebi škola može imenovati i druga stručna tijela što se određuje statutom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Sadržaj rada razrednog i učiteljskog, odnosno nastavničkog vijeća te drugih stručnih tijela škole uređuje se statutom.</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U umjetničkoj školi osniva se vijeće učenika koje čine predstavnici svakog razreda ili određene godine obrazovanja. Način izbora i djelokrug rada vijeća učenika uređuje se statutom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U umjetničkoj školi osniva se vijeće roditelja. Roditelji/skrbnici učenika svakog razreda ili određene godine obrazovanja između sebe biraju jednog člana u vijeće roditelja. Način izbora i djelokrug rada vijeća roditelja uređuje se statutom škole.</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VI. PEDAGOŠKA DOKUMENTACIJA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20.</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Umjetničke škole vode pedagošku dokumentaciju o učenicima.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lastRenderedPageBreak/>
        <w:t>(2) Škola vodi bazu podataka o upisanim učenicima, njihovom napredovanju, izdanim svjedodžbama i drugim ispravama.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Na završetku svakog razreda osnovne umjetničke škole učeniku se izdaje razredna svjedodžba, a svjedodžba četvrtog, odnosno šestog razreda je isprava o završetku osnovne umjetničke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Na završetku svakog razreda srednje škole učeniku se izdaje razredna svjedodžba, a na završetku srednjeg obrazovanja svjedodžba o završnome radu.</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VII. OSNIVANJE ŠKOLE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21.</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Umjetnička škola osniva se aktom o osnivanju sukladno odredbama ovoga Zakona, zakona kojim se uređuje djelatnost osnovnog i srednjeg odgoja i obrazovanja i zakona o ustanovama.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Odjele osnovnih umjetničkih programa može imati osnovna škola koja u skladu s ovim Zakonom i provedbenim propisima, o tome pribavi rješenje za početak rada.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Umjetnička škola, kao i odjel umjetničkog programa u sastavu osnovne škole iz stavka 2. ovoga članka, može započeti s radom nakon što su pribavili rješenje o početku rada koje donosi ministarstvo nadležno za obrazovanje (u daljnjem tekstu: Ministarstvo).</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Osnivači umjetničke škole mogu biti: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Republika Hrvatska,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jedinica područne (regionalne) samouprave,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jedinica lokalne samouprave,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druga pravna ili fizička osoba.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Način, uvjete i postupak osnivanja umjetničke škole i umjetničkih odjela u sastavu osnovne škole te način, uvjete i postupak utvrđivanja uvjeta za početak rada propisuje ministar.</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22.</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Školska ustanova ima statut.</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Statutom se pobliže određuje ustrojstvo, ovlasti i način odlučivanja tijela školske ustanove, izricanje pedagoških mjera te druga pitanja važna za obavljanje djelatnosti i poslovanje školske ustanove, sukladno zakonima i aktu o osnivanju.</w:t>
      </w:r>
    </w:p>
    <w:p w:rsidR="00DB1FF8"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Statut školske ustanove donosi školski odbor uz prethodnu suglasnost osnivača.</w:t>
      </w:r>
    </w:p>
    <w:p w:rsidR="005B7B79" w:rsidRDefault="005B7B79" w:rsidP="00DB1FF8">
      <w:pPr>
        <w:pStyle w:val="t-9-8"/>
        <w:jc w:val="both"/>
        <w:rPr>
          <w:rFonts w:asciiTheme="minorHAnsi" w:hAnsiTheme="minorHAnsi" w:cstheme="minorHAnsi"/>
          <w:color w:val="000000"/>
        </w:rPr>
      </w:pPr>
    </w:p>
    <w:p w:rsidR="005B7B79" w:rsidRPr="00266A35" w:rsidRDefault="005B7B79" w:rsidP="00DB1FF8">
      <w:pPr>
        <w:pStyle w:val="t-9-8"/>
        <w:jc w:val="both"/>
        <w:rPr>
          <w:rFonts w:asciiTheme="minorHAnsi" w:hAnsiTheme="minorHAnsi" w:cstheme="minorHAnsi"/>
          <w:color w:val="000000"/>
        </w:rPr>
      </w:pP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lastRenderedPageBreak/>
        <w:t>Članak 23.</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 sklopu javne djelatnosti glazbena, plesna i druga umjetnička škola može obavljati koncertnu djelatnost, odnosno izvoditi umjetničku predstavu u organizaciji stručnih odjela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U sklopu javne djelatnosti likovnih škola i škola za primijenjenu umjetnost, škole mogu imati izložbeni salon ili galeriju za postave učeničkih i nastavničkih radova u skladu sa statutom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Organizacija javne djelatnosti iz stavka 1. i 2. ovoga članka je uređena kurikulumom umjetničkog obrazovanja za određeno umjetničko područje, a utvrđuje se kurikulumom škole.</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VIII. FINANCIRANJE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24.</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Sredstva za financiranje javnih potreba u umjetničkom obrazovanju osiguravaju se: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iz državnog proračuna,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iz proračuna jedinice lokalne i područne (regionalne) samouprave,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namjenskim sredstvima kulturnih institucija i ustanova na lokalnoj razini,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sredstvima osnivača kada je osnivač druga fizička ili pravna osoba,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prihodima koji se ostvaruju obavljanjem vlastite djelatnosti i drugim namjenskim prihodima,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participacijom roditelja/skrbnika učenika,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sredstvima drugih subjekata, pokrovitelja i zainteresiranih ustanova.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U državnom proračunu osiguravaju se sredstva za financiranje školskih ustanova čiji je osnivač Republika Hrvatska ili jedinica lokalne i područne (regionalne) samouprave, i to za: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plaće i naknade plaća s doprinosima na plaće,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materijalna prava ugovorena kolektivnim ugovorima,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naknadu za prijevoz na posao i s posla radnicima osnovnih škola,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stručno osposobljavanje i usavršavanje,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vanjsko vrednovanje i provođenje državne mature,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6. licenciranje učitelja, nastavnika, stručnih suradnika i ravnatelja,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7. izvođenje jednog obrazovnog programa na osnovnoškolskoj razini,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8. izvođenje jednog obrazovnog programa za stjecanje kvalifikacije/zanimanja.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lastRenderedPageBreak/>
        <w:t>(3) U proračunu jedinice lokalne i područne (regionalne) samouprave osiguravaju se sredstva za materijalne troškove umjetničkih škola, i to za: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materijalne i financijske rashode škola koji obuhvaćaju i rashode za materijal, dijelove i usluge tekućeg i investicijskog održavanja,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rashode za izgradnju, dogradnju i rekonstrukciju školskog prostora te opremanje školskih ustanova prema standardima i normativima koje propisuje ministar, a u skladu s državnim pedagoškim standardima,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javnu djelatnost,</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naknadu za prijevoz na posao i s posla radnicima srednjoškolskih ustanova,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poboljšanje uvjeta rada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Jedinica lokalne i područne (regionalne) samouprave može utvrditi šire javne potrebe u umjetničkom obrazovanju, i to za: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opremanje škola kabinetskom, didaktičkom i informatičkom opremom,</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opremanje škola računalnim programima,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 xml:space="preserve">3. opremanje školskih knjižnica, </w:t>
      </w:r>
      <w:proofErr w:type="spellStart"/>
      <w:r w:rsidRPr="00266A35">
        <w:rPr>
          <w:rFonts w:asciiTheme="minorHAnsi" w:hAnsiTheme="minorHAnsi" w:cstheme="minorHAnsi"/>
          <w:color w:val="000000"/>
        </w:rPr>
        <w:t>nototeka</w:t>
      </w:r>
      <w:proofErr w:type="spellEnd"/>
      <w:r w:rsidRPr="00266A35">
        <w:rPr>
          <w:rFonts w:asciiTheme="minorHAnsi" w:hAnsiTheme="minorHAnsi" w:cstheme="minorHAnsi"/>
          <w:color w:val="000000"/>
        </w:rPr>
        <w:t>, fonoteka,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programe od zajedničkog interesa za djelatnost školstva (časopisi, stručne knjige, obljetnice, manifestacije, izvannastavne aktivnosti),</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škole kojima je osnivač druga fizička ili pravna osoba u skladu s kriterijima koje donosi lokalna i područna (regionalna) samouprava.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(5) Kada je osnivač škole druga pravna ili fizička osoba, osnivač je dužan osigurati potrebna sredstva za financiranje: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plaća i naknada plaća s doprinosima,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ostalih rashoda za radnike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materijalnih i financijskih rashoda škole te ostala potrebna sredstva za rad škole.</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(6) Školski odbor uz suglasnost osnivača donosi odluku o iznosu participacije roditelja/skrbnika učenika te cijeni obrazovanja iz članka 9. stavka 3. ovoga Zakona, za svaku godinu obrazovanja i objavljuje je u javnom natječaju za upis polaznika u prvi razred.</w:t>
      </w:r>
    </w:p>
    <w:p w:rsidR="00DB1FF8"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(7) Umjetničke škole sklapaju ugovor o participaciji s roditeljima, odnosno skrbnicima učenika umjetničkih škola kojim utvrđuju iznos participacije, prava učenika i obveze škole.</w:t>
      </w:r>
    </w:p>
    <w:p w:rsidR="005B7B79" w:rsidRDefault="005B7B79" w:rsidP="00DB1FF8">
      <w:pPr>
        <w:pStyle w:val="t-9-8"/>
        <w:jc w:val="both"/>
        <w:rPr>
          <w:rFonts w:asciiTheme="minorHAnsi" w:hAnsiTheme="minorHAnsi" w:cstheme="minorHAnsi"/>
          <w:color w:val="000000"/>
        </w:rPr>
      </w:pPr>
    </w:p>
    <w:p w:rsidR="005B7B79" w:rsidRPr="00266A35" w:rsidRDefault="005B7B79" w:rsidP="00DB1FF8">
      <w:pPr>
        <w:pStyle w:val="t-9-8"/>
        <w:jc w:val="both"/>
        <w:rPr>
          <w:rFonts w:asciiTheme="minorHAnsi" w:hAnsiTheme="minorHAnsi" w:cstheme="minorHAnsi"/>
          <w:color w:val="000000"/>
        </w:rPr>
      </w:pP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lastRenderedPageBreak/>
        <w:t>Članak 25.</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Ostvareni prihod škola mora upotrijebiti isključivo za obavljanje i razvoj djelatnosti škole u skladu s zakonom, aktom o osnivanju i statutom škole.</w:t>
      </w:r>
    </w:p>
    <w:p w:rsidR="00DB1FF8" w:rsidRPr="00266A35" w:rsidRDefault="00DB1FF8" w:rsidP="00DB1FF8">
      <w:pPr>
        <w:pStyle w:val="t-10-9-fett"/>
        <w:jc w:val="center"/>
        <w:rPr>
          <w:rFonts w:asciiTheme="minorHAnsi" w:hAnsiTheme="minorHAnsi" w:cstheme="minorHAnsi"/>
          <w:color w:val="000000"/>
        </w:rPr>
      </w:pPr>
      <w:r w:rsidRPr="00266A35">
        <w:rPr>
          <w:rFonts w:asciiTheme="minorHAnsi" w:hAnsiTheme="minorHAnsi" w:cstheme="minorHAnsi"/>
          <w:color w:val="000000"/>
        </w:rPr>
        <w:t>IX. PRIJELAZNE I ZAVRŠNE ODREDBE</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26.</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Učitelj/nastavnik koji se na dan stupanja na snagu ovoga Zakona zatekne u radnom odnosu na neodređeno vrijeme u umjetničkoj školi, a nema vrstu i razinu obrazovanja propisanu ovim Zakonom, nastavlja s obavljanjem poslova svog radnog mjesta.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27.</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Umjetničke škole dužne su uskladiti svoje opće akte s odredbama ovoga Zakona u roku od 6 mjeseci od dana stupanja na snagu ovoga Zakona.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Do donošenja kurikuluma umjetničkog obrazovanja škole će organizirati odgojno-obrazovni proces u skladu s postojećim nastavnim planovima i programima.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(3) Sve plesne i glazbene škole koje rade u sastavu pučkih otvorenih učilišta dužne su uskladiti svoje ustrojstvo, rad i poslovanje, statute i opće akte s odredbama ovoga Zakona najkasnije do 31. kolovoza 2014.</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(4) Školama iz stavka 3. ovoga članka prestaje pravo obavljanja poslova u sastavu pučkih otvorenih učilišta s danom 31. kolovoza 2014.</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28.</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(1) Provedbene propise na temelju ovoga Zakona ministar će donijeti u roku od 4 mjeseca od dana stupanja na snagu ovoga Zakona.</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(2) Pravilnik o osnovnom umjetničkom školovanju (»Narodne novine«, br. 53/93.) ostaje na snazi do stupanja na snagu provedbenih propisa na temelju ovoga Zakona, osim odredaba koje su u suprotnosti s odredbama ovoga Zakona.</w:t>
      </w:r>
    </w:p>
    <w:p w:rsidR="00DB1FF8" w:rsidRPr="00266A35" w:rsidRDefault="00DB1FF8" w:rsidP="00DB1FF8">
      <w:pPr>
        <w:pStyle w:val="clanak"/>
        <w:rPr>
          <w:rFonts w:asciiTheme="minorHAnsi" w:hAnsiTheme="minorHAnsi" w:cstheme="minorHAnsi"/>
          <w:color w:val="000000"/>
        </w:rPr>
      </w:pPr>
      <w:r w:rsidRPr="00266A35">
        <w:rPr>
          <w:rFonts w:asciiTheme="minorHAnsi" w:hAnsiTheme="minorHAnsi" w:cstheme="minorHAnsi"/>
          <w:color w:val="000000"/>
        </w:rPr>
        <w:t>Članak 29.</w:t>
      </w:r>
    </w:p>
    <w:p w:rsidR="00DB1FF8" w:rsidRPr="00266A35" w:rsidRDefault="00DB1FF8" w:rsidP="00DB1FF8">
      <w:pPr>
        <w:pStyle w:val="t-9-8"/>
        <w:jc w:val="both"/>
        <w:rPr>
          <w:rFonts w:asciiTheme="minorHAnsi" w:hAnsiTheme="minorHAnsi" w:cstheme="minorHAnsi"/>
          <w:color w:val="000000"/>
        </w:rPr>
      </w:pPr>
      <w:r w:rsidRPr="00266A35">
        <w:rPr>
          <w:rFonts w:asciiTheme="minorHAnsi" w:hAnsiTheme="minorHAnsi" w:cstheme="minorHAnsi"/>
          <w:color w:val="000000"/>
        </w:rPr>
        <w:t>Ovaj Zakon stupa na snagu osmoga dana od dana objave u »Narodnim novinama«, osim odredbe članka 3. stavka 2. ovoga Zakona koja stupa na snagu na dan pristupanja Republike Hrvatske Europskoj uniji.</w:t>
      </w:r>
    </w:p>
    <w:p w:rsidR="00DB1FF8" w:rsidRPr="00266A35" w:rsidRDefault="00DB1FF8" w:rsidP="00DB1FF8">
      <w:pPr>
        <w:pStyle w:val="klasa2"/>
        <w:jc w:val="both"/>
        <w:rPr>
          <w:rFonts w:asciiTheme="minorHAnsi" w:hAnsiTheme="minorHAnsi" w:cstheme="minorHAnsi"/>
          <w:color w:val="000000"/>
        </w:rPr>
      </w:pPr>
      <w:r w:rsidRPr="00266A35">
        <w:rPr>
          <w:rFonts w:asciiTheme="minorHAnsi" w:hAnsiTheme="minorHAnsi" w:cstheme="minorHAnsi"/>
          <w:color w:val="000000"/>
        </w:rPr>
        <w:t>Klasa: 602-01/11-01/04</w:t>
      </w:r>
    </w:p>
    <w:p w:rsidR="00DB1FF8" w:rsidRPr="00266A35" w:rsidRDefault="00DB1FF8" w:rsidP="00DB1FF8">
      <w:pPr>
        <w:pStyle w:val="klasa2"/>
        <w:jc w:val="both"/>
        <w:rPr>
          <w:rFonts w:asciiTheme="minorHAnsi" w:hAnsiTheme="minorHAnsi" w:cstheme="minorHAnsi"/>
          <w:color w:val="000000"/>
        </w:rPr>
      </w:pPr>
      <w:r w:rsidRPr="00266A35">
        <w:rPr>
          <w:rFonts w:asciiTheme="minorHAnsi" w:hAnsiTheme="minorHAnsi" w:cstheme="minorHAnsi"/>
          <w:color w:val="000000"/>
        </w:rPr>
        <w:t>Zagreb, 28. listopada 2011.</w:t>
      </w:r>
    </w:p>
    <w:p w:rsidR="001E465D" w:rsidRPr="00266A35" w:rsidRDefault="001E465D">
      <w:pPr>
        <w:rPr>
          <w:rFonts w:cstheme="minorHAnsi"/>
        </w:rPr>
      </w:pPr>
    </w:p>
    <w:sectPr w:rsidR="001E465D" w:rsidRPr="00266A35" w:rsidSect="003A3F13">
      <w:headerReference w:type="default" r:id="rId6"/>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F88" w:rsidRDefault="00322F88" w:rsidP="003A3F13">
      <w:pPr>
        <w:spacing w:after="0" w:line="240" w:lineRule="auto"/>
      </w:pPr>
      <w:r>
        <w:separator/>
      </w:r>
    </w:p>
  </w:endnote>
  <w:endnote w:type="continuationSeparator" w:id="0">
    <w:p w:rsidR="00322F88" w:rsidRDefault="00322F88" w:rsidP="003A3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F88" w:rsidRDefault="00322F88" w:rsidP="003A3F13">
      <w:pPr>
        <w:spacing w:after="0" w:line="240" w:lineRule="auto"/>
      </w:pPr>
      <w:r>
        <w:separator/>
      </w:r>
    </w:p>
  </w:footnote>
  <w:footnote w:type="continuationSeparator" w:id="0">
    <w:p w:rsidR="00322F88" w:rsidRDefault="00322F88" w:rsidP="003A3F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363"/>
      <w:docPartObj>
        <w:docPartGallery w:val="Page Numbers (Margins)"/>
        <w:docPartUnique/>
      </w:docPartObj>
    </w:sdtPr>
    <w:sdtContent>
      <w:p w:rsidR="003A3F13" w:rsidRDefault="003A3F13">
        <w:pPr>
          <w:pStyle w:val="Zaglavlje"/>
        </w:pPr>
        <w:r>
          <w:rPr>
            <w:noProof/>
            <w:lang w:eastAsia="zh-TW"/>
          </w:rPr>
          <w:pict>
            <v:rect id="_x0000_s2049" style="position:absolute;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3A3F13" w:rsidRDefault="003A3F13">
                    <w:pPr>
                      <w:pBdr>
                        <w:bottom w:val="single" w:sz="4" w:space="1" w:color="auto"/>
                      </w:pBdr>
                    </w:pPr>
                    <w:fldSimple w:instr=" PAGE   \* MERGEFORMAT ">
                      <w:r w:rsidR="005B7B79">
                        <w:rPr>
                          <w:noProof/>
                        </w:rPr>
                        <w:t>11</w:t>
                      </w:r>
                    </w:fldSimple>
                  </w:p>
                </w:txbxContent>
              </v:textbox>
              <w10:wrap anchorx="page"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B1FF8"/>
    <w:rsid w:val="001E465D"/>
    <w:rsid w:val="00266A35"/>
    <w:rsid w:val="00322F88"/>
    <w:rsid w:val="003A3F13"/>
    <w:rsid w:val="005B7B79"/>
    <w:rsid w:val="00A46856"/>
    <w:rsid w:val="00DB1FF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5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DB1FF8"/>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DB1FF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fett">
    <w:name w:val="t-10-9-fett"/>
    <w:basedOn w:val="Normal"/>
    <w:rsid w:val="00DB1FF8"/>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2-9-fett-s">
    <w:name w:val="t-12-9-fett-s"/>
    <w:basedOn w:val="Normal"/>
    <w:rsid w:val="00DB1FF8"/>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DB1FF8"/>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DB1FF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DB1FF8"/>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DB1FF8"/>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DB1FF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DB1F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DB1FF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DB1FF8"/>
    <w:rPr>
      <w:b/>
      <w:bCs/>
    </w:rPr>
  </w:style>
  <w:style w:type="paragraph" w:styleId="Zaglavlje">
    <w:name w:val="header"/>
    <w:basedOn w:val="Normal"/>
    <w:link w:val="ZaglavljeChar"/>
    <w:uiPriority w:val="99"/>
    <w:semiHidden/>
    <w:unhideWhenUsed/>
    <w:rsid w:val="003A3F13"/>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A3F13"/>
  </w:style>
  <w:style w:type="paragraph" w:styleId="Podnoje">
    <w:name w:val="footer"/>
    <w:basedOn w:val="Normal"/>
    <w:link w:val="PodnojeChar"/>
    <w:uiPriority w:val="99"/>
    <w:semiHidden/>
    <w:unhideWhenUsed/>
    <w:rsid w:val="003A3F13"/>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3A3F13"/>
  </w:style>
</w:styles>
</file>

<file path=word/webSettings.xml><?xml version="1.0" encoding="utf-8"?>
<w:webSettings xmlns:r="http://schemas.openxmlformats.org/officeDocument/2006/relationships" xmlns:w="http://schemas.openxmlformats.org/wordprocessingml/2006/main">
  <w:divs>
    <w:div w:id="2067754329">
      <w:bodyDiv w:val="1"/>
      <w:marLeft w:val="0"/>
      <w:marRight w:val="0"/>
      <w:marTop w:val="0"/>
      <w:marBottom w:val="0"/>
      <w:divBdr>
        <w:top w:val="none" w:sz="0" w:space="0" w:color="auto"/>
        <w:left w:val="none" w:sz="0" w:space="0" w:color="auto"/>
        <w:bottom w:val="none" w:sz="0" w:space="0" w:color="auto"/>
        <w:right w:val="none" w:sz="0" w:space="0" w:color="auto"/>
      </w:divBdr>
      <w:divsChild>
        <w:div w:id="444690316">
          <w:marLeft w:val="0"/>
          <w:marRight w:val="0"/>
          <w:marTop w:val="0"/>
          <w:marBottom w:val="0"/>
          <w:divBdr>
            <w:top w:val="none" w:sz="0" w:space="0" w:color="auto"/>
            <w:left w:val="none" w:sz="0" w:space="0" w:color="auto"/>
            <w:bottom w:val="none" w:sz="0" w:space="0" w:color="auto"/>
            <w:right w:val="none" w:sz="0" w:space="0" w:color="auto"/>
          </w:divBdr>
          <w:divsChild>
            <w:div w:id="17786714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3300</Words>
  <Characters>18816</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ŠPUD</dc:creator>
  <cp:lastModifiedBy>ŠPUD</cp:lastModifiedBy>
  <cp:revision>6</cp:revision>
  <dcterms:created xsi:type="dcterms:W3CDTF">2011-11-18T06:38:00Z</dcterms:created>
  <dcterms:modified xsi:type="dcterms:W3CDTF">2011-11-18T06:54:00Z</dcterms:modified>
</cp:coreProperties>
</file>